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after="0" w:line="240" w:lineRule="auto"/>
        <w:ind w:left="720" w:firstLine="72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CENTRO UNIVERSITÁRIO FIS - UNIFIS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COMITÊ DE ÉTICA EM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R. João Luiz de Melo, 2110 - Tancredo Neves, Serra Talhada - PE, </w:t>
      </w:r>
    </w:p>
    <w:p w:rsidR="00000000" w:rsidDel="00000000" w:rsidP="00000000" w:rsidRDefault="00000000" w:rsidRPr="00000000" w14:paraId="00000004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CEP: 56909-205.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WhatsApp: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(87) 98124-4526 -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cep@fis.edu.br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y4duprc5qp18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PENDÊNCIAS MAIS FREQUENTES NA ELABORAÇÃO DO TCLE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1) NA REDAÇÃO: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Utilização de linguagem inacessível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de acordo com a Resolução CNS N° 466 de 2012, no item II.23, orienta que o TCLE deve “conter todas as informações necessárias, em linguagem clara e objetiva, de fácil entendimento, para o mais completo esclarecimento sobre a pesquisa a qual se propõe participar”.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Texto redigido no formato de declaração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O termo de consentimento é um documento que deve ser redigido no formato de convite. Não é adequado que o corpo do TCLE seja escrito como declaração, já que isto pode reduzir a autonomia do indivíduo.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Obs.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Contudo, é aceitável que a parte final do TCLE, em que estão os campos de assinatura e na qual participante manifesta o seu desejo, esteja escrita como declaração.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Emprega equivocadamente o termo “sujeito de pesquisa”: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Resolução CNS N° 466 de 2012 substituiu o termo “sujeito de pesquisa” (previsto na Resolução CNS N° 196  de 1996) por “participante de pesquisa”.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RESSARCIMENTO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informação acerca do ressarcimento;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Limitação dos itens e valores do ressarcimento;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Negativa do ressarcimento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de Equívoco: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Você não será pago por ser um voluntário (a) para participar do estudo. Isso porque os governos e os profissionais de saúde não desejam que as pessoas sejam atraídas a participar de estudos dos quais, de outra forma, eles prefeririam não participar. Você receberá toda a assistência e cuidados relacionados ao estudo gratuitamente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 também não haverá custos por despesas razoáveis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como transporte ou estacionamento.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5b9bd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ASSISTÊNCIA A DANOS DECORRENTES DA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informação acerca da assistência e/ou da sua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gratuidade;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Limitação da assistência à comprovação de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nexo causal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do dano;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Limitação do tempo e/ou tipo de assistência.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de Equívoco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Dano e Compensação: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 você sofrer um dano como resultado de participar deste projeto de pesquisa, cuidado hospitalar e tratamento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será fornecido pelo serviço de saúde pública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sem custos extras para você se você escolher ser tratada como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participante pública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 serviço público de saúde.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5b9bd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INDENIZAÇÃO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informação acerca da indenização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Vinculação da indenização a seguro contratado pelo patrocinador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de Equívoco: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Apesar do XXX não possuir programa de compensações por danos,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você poderá receber indenização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por danos relacionado direta ou indiretamente ao estudo, imediatos ou tardios,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que poderão ser cobertos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pelo seguro de responsabilidade civil do estudo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5b9bd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RISCOS e BENEFÍCIOS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descrição dos benefícios e/ou dos riscos da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Supervalorização dos benefícios ou subestimação dos riscos da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informação acerca das providências e das cautelas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b05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b050"/>
          <w:sz w:val="24"/>
          <w:szCs w:val="24"/>
          <w:u w:val="none"/>
          <w:shd w:fill="auto" w:val="clear"/>
          <w:vertAlign w:val="baseline"/>
          <w:rtl w:val="0"/>
        </w:rPr>
        <w:t xml:space="preserve">Solicitação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b050"/>
          <w:sz w:val="24"/>
          <w:szCs w:val="24"/>
          <w:u w:val="none"/>
          <w:shd w:fill="auto" w:val="clear"/>
          <w:vertAlign w:val="baseline"/>
          <w:rtl w:val="0"/>
        </w:rPr>
        <w:t xml:space="preserve">: É necessário apontar um ou mais benefícios primordialmente para o participante da pesquisa.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PLACEBO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Previsão de utilização de placebo em situações onde existem comparadores eficazes;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Previsão de utilização, como placebo, do melhor tratamento ou procedimento que seria habitualmente realizado na prática clínica.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de Equívoco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Cada paciente é cuidadosamente monitorado e de forma frequente;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Há mecanismos de saída para pacientes que apresentam consequências adversas relacionadas com a falta da terapia ativa;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A duração do protocolo clínico é a menor possível, como descrito no protocolo;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4. Os pacientes são claramente informados e concordam com a possibilidade de receber placebo em vez de tratamento padrão ou experimental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ACESSO AOS RESULTADOS DOS EXAMES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Negativa ou restrições, ao participante de pesquisa, de acesso a resultados dos exames a realizar durante o estudo.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NEGATIVO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o XXX é um estudo clínico,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você não ficará sabendo dos resultados de nenhum dos testes realizados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estudo.  No entanto, seu médico terá acesso às informações clínicas e terá o direito de utilizar essas informações e compartilha-las com você se você desejar, desde que essas informações sejam uteis para o processo de tomada de decisões relacionado aos seus cuidados de saúde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GENÉTICA HUMANA ( Resolução nº 340/2004)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dos informes sobre: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 ao resultado dos exames genéticos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Opção de conhecimento ou não dos resultados genéticos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Aconselhamento genético e acompanhamento clínico (quando aplicável)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CONFIDENCIALIDADE E ANONIMIZAÇÃO DOS DADOS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intenção de consulta ao prontuário médico;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garantia que os dados a serem repassados ao patrocinador ou a terceiros serão anonimizados;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Permissão de acesso amplo aos documentos fonte por terceiros (por exemplo, “representantes do patrocinador”).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NEGATIVO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Representantes das seguintes organizações podem precisar olhar seus registros médicos e termos de estudo para garantir que as informações estejam corretas e para avaliar a condução do estudo: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Indivíduos ou empresas fora do hospital que prestam serviços ( laboratórios centrais, companhias de seguros, empresas de armazenamento de dados)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 LIBERDADE DA RECUSA EM PARTICIPAR DA PESQUISA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informação da liberdade de recusa em participar do estudo, sem prejuízos ou penalidades.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 LIBERDADE DA RETIRADA DO CONSENTIMENTO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da informação acerca da liberdade da retirada do consentimento;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Restrição da garantia de plena liberdade ao participante de pesquisa de retirar seu consentimento, em qualquer fase da pesquisa, sem penalização alguma.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Exemplo NEGATIVO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ff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Você pode cancelar sua autorização a qualquer momento. Se você cancelar sua autorização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, você não poderá mais participar do estudo 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 pesquisador responsável e sua equipe não irão mais utilizar ou divulgar suas informações médicas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 menos que isso seja necessário para proteger o objetivo científico do estudo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 MEIOS DE CONTATO COM O PESQUISADOR RESPONSÁVEL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Ausência do informe dos meios de contato com o pesquisador responsável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Ausência do informe de meio de contato de fácil acesso ao participante de pesquisa em caso de urgência (por exemplo, no caso de ensaios clínicos)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 MEIOS DE CONTATO COM O SISTEMA CEP/Conep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Ausência do informe dos meios de contato com o CEP (ou a Conep, quando aplicável)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Omissão de explicação, em linguagem simples, sobre a atribuição do CEP (e da Conep, quando aplicável)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CAMPO DE ASSINATURAS E RUBRICAS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Utiliza termos inapropriados no campo de assinaturas e rubricas: A Conep tem insistido que os campos de assinaturas e de rubricas contenham a terminologia preconizada pela Resolução CNS N° 466 de 2012 (itens II.15 e II.16). Frequentemente, são usados nesses campos termos não previstos pela Resolução, como “investigador” e “paciente”, os quais devem ser substituídos, respectivamente, por “pesquisador” e “participante de pesquisa/responsável legal”.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consentimento e o assentimento (quando for o caso), na modalidade de submissão do tipo 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relato de caso”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devem ser obtidos formalmente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ANTES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apresentação da proposta na PB, devendo ser assinados pelo participante (ou responsável legal) e anexados como tipo de documento “TCLE/Termo de Assentimento”.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15. FORNECIMENTO DE UMA VIA ORIGINAL DO DOCUMENTO, COM ASSINATURAS E RUBRICAS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Omite informação acerca do direito a ter uma via do TCLE: Essa pendência acontece quando o TCLE não informa que o participante de pesquisa tem direito a uma via do TCLE assinada e rubricada em todas as páginas.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Utiliza a palavra “CÓPIA”: Entende-se que os termos “VIA” e “CÓPIA”, mesmo que similares do ponto de vista semântico, não têm o mesmo significado prático, já que o primeiro compreende o documento original, enquanto o segundo pode não ser fiel ao documento primário. Desta forma, não se deve utilizar o termo “CÓPIA” para designar o documento, mas “VIA”.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INFORMAÇÕES ADICIONAIS NO CAMPO DE ASSINATURAS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Embora se entenda que, do ponto de vista jurídico, o TCLE represente um contrato entre o participante de pesquisa e o pesquisador/patrocinador, o TCLE tem a função precípua de informar e respeitar a autonomia do participante de pesquisa e não propriamente de se estabelecer vínculo contratual entre as partes. Informações adicionais, além do nome e data de assinatura, não são considerados essenciais do ponto de vista bioético. Sendo assim, a Conep tem solicitado que informações como RG, CPF, endereço, entre outras sejam removidas do campo de assinatura.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30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tabs>
        <w:tab w:val="center" w:leader="none" w:pos="4252"/>
        <w:tab w:val="right" w:leader="none" w:pos="8504"/>
      </w:tabs>
      <w:spacing w:after="0" w:line="240" w:lineRule="auto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-114299</wp:posOffset>
          </wp:positionH>
          <wp:positionV relativeFrom="paragraph">
            <wp:posOffset>-142874</wp:posOffset>
          </wp:positionV>
          <wp:extent cx="1135566" cy="674052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673" l="0" r="0" t="22637"/>
                  <a:stretch>
                    <a:fillRect/>
                  </a:stretch>
                </pic:blipFill>
                <pic:spPr>
                  <a:xfrm>
                    <a:off x="0" y="0"/>
                    <a:ext cx="1135566" cy="67405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4600575</wp:posOffset>
          </wp:positionH>
          <wp:positionV relativeFrom="paragraph">
            <wp:posOffset>-171449</wp:posOffset>
          </wp:positionV>
          <wp:extent cx="1028233" cy="733425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8233" cy="7334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link w:val="CorpodetextoChar"/>
    <w:semiHidden w:val="1"/>
    <w:rsid w:val="001113C3"/>
    <w:pPr>
      <w:spacing w:after="0" w:line="240" w:lineRule="auto"/>
      <w:jc w:val="both"/>
    </w:pPr>
    <w:rPr>
      <w:rFonts w:ascii="Times New Roman" w:cs="Times New Roman" w:eastAsia="Times New Roman" w:hAnsi="Times New Roman"/>
      <w:sz w:val="24"/>
      <w:szCs w:val="20"/>
      <w:lang w:eastAsia="pt-BR"/>
    </w:rPr>
  </w:style>
  <w:style w:type="character" w:styleId="CorpodetextoChar" w:customStyle="1">
    <w:name w:val="Corpo de texto Char"/>
    <w:basedOn w:val="Fontepargpadro"/>
    <w:link w:val="Corpodetexto"/>
    <w:semiHidden w:val="1"/>
    <w:rsid w:val="001113C3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 w:val="1"/>
    <w:rsid w:val="00270374"/>
    <w:pPr>
      <w:ind w:left="720"/>
      <w:contextualSpacing w:val="1"/>
    </w:pPr>
  </w:style>
  <w:style w:type="paragraph" w:styleId="Cabealho">
    <w:name w:val="header"/>
    <w:basedOn w:val="Normal"/>
    <w:link w:val="CabealhoChar"/>
    <w:uiPriority w:val="99"/>
    <w:unhideWhenUsed w:val="1"/>
    <w:rsid w:val="00270374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70374"/>
  </w:style>
  <w:style w:type="paragraph" w:styleId="Rodap">
    <w:name w:val="footer"/>
    <w:basedOn w:val="Normal"/>
    <w:link w:val="RodapChar"/>
    <w:uiPriority w:val="99"/>
    <w:unhideWhenUsed w:val="1"/>
    <w:rsid w:val="00270374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70374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UUAnqPwKbPNX9so9cjfONA+SQ==">CgMxLjAyDmgueTRkdXByYzVxcDE4OAByITFOMXk2a3cyVjlGa2xORGM5dExjTk9hckpLclRJTVdVbg==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2025-07-23T19:48:00Z</dcterms:created>
  <dc:creator>Maria do Carmo queiroz gouveia Melinha</dc:creator>
</cp:coreProperties>
</file>